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580" w:lineRule="exact" w:before="0" w:after="0"/>
      </w:pPr>
      <w:r>
        <w:rPr>
          <w:rFonts w:ascii="方正小标宋简体" w:hAnsi="方正小标宋简体" w:eastAsia="方正小标宋简体"/>
          <w:b w:val="0"/>
          <w:sz w:val="44"/>
        </w:rPr>
        <w:t>v2.2d策略研发进度报告</w:t>
      </w:r>
    </w:p>
    <w:p>
      <w:pPr>
        <w:jc w:val="left"/>
        <w:spacing w:line="580" w:lineRule="exact" w:before="0" w:after="0"/>
      </w:pPr>
      <w:r>
        <w:rPr>
          <w:rFonts w:ascii="仿宋_GB2312" w:hAnsi="仿宋_GB2312" w:eastAsia="仿宋_GB2312"/>
          <w:b w:val="0"/>
          <w:sz w:val="32"/>
        </w:rPr>
        <w:t>FXY：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按照策略研发计划安排，现将v2.2d策略研发及相关工作进展情况报告如下：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 w:val="0"/>
          <w:sz w:val="32"/>
        </w:rPr>
        <w:t>一、基本情况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（一）v2.2d确立为新最优基线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2026年6月11日，在v2.2c基础上完成冷却期逻辑修复，形成v2.2d版本。修复内容为将冷却期触发条件由“条件满足时滚动窗口”调整为“实际入场事件驱动”，消除了市场持续满足条件时永久阻止下单的致命自锁隐患。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全周期回测结果（2021-01-01至2026-06-01，每轮1万美元起）：最终资金20,578,436美元，收益率+205,684%（2057倍），年化复合增长率309%，夏普比率1.03，利润因子1.92，最大回撤20.58%，共成交1,375笔，胜率28.9%。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（二）逐年回测表现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在独立运行条件下（每年1万美元起资金），各年度表现如下：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311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/>
                <w:sz w:val="24"/>
              </w:rPr>
              <w:t>年份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/>
                <w:sz w:val="24"/>
              </w:rPr>
              <w:t>交易笔数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/>
                <w:sz w:val="24"/>
              </w:rPr>
              <w:t>收益率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/>
                <w:sz w:val="24"/>
              </w:rPr>
              <w:t>终值（美元）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/>
                <w:sz w:val="24"/>
              </w:rPr>
              <w:t>同期ETH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/>
                <w:sz w:val="24"/>
              </w:rPr>
              <w:t>胜率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/>
                <w:sz w:val="24"/>
              </w:rPr>
              <w:t>最大回撤</w:t>
            </w:r>
          </w:p>
        </w:tc>
      </w:tr>
      <w:tr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2021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172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+251.16%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35,116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+407%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27.3%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11.28%</w:t>
            </w:r>
          </w:p>
        </w:tc>
      </w:tr>
      <w:tr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2022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204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+110.91%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21,091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-68%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30.9%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11.69%</w:t>
            </w:r>
          </w:p>
        </w:tc>
      </w:tr>
      <w:tr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2023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182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+49.35%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14,935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+92%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26.9%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10.04%</w:t>
            </w:r>
          </w:p>
        </w:tc>
      </w:tr>
      <w:tr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2024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232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+185.84%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28,584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+46%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28.4%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6.87%</w:t>
            </w:r>
          </w:p>
        </w:tc>
      </w:tr>
      <w:tr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2025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221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+608.24%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70,824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-11%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27.6%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13.92%</w:t>
            </w:r>
          </w:p>
        </w:tc>
      </w:tr>
      <w:tr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2026上半年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54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-11.87%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8,813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-45%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22.2%</w:t>
            </w:r>
          </w:p>
        </w:tc>
        <w:tc>
          <w:tcPr>
            <w:tcW w:type="dxa" w:w="1311"/>
            <w:vAlign w:val="center"/>
          </w:tcPr>
          <w:p>
            <w:pPr>
              <w:jc w:val="center"/>
              <w:spacing w:line="580" w:lineRule="exact" w:before="0" w:after="0"/>
            </w:pPr>
            <w:r>
              <w:rPr>
                <w:rFonts w:ascii="宋体" w:hAnsi="宋体" w:eastAsia="宋体"/>
                <w:b w:val="0"/>
                <w:sz w:val="24"/>
              </w:rPr>
              <w:t>14.89%</w:t>
            </w:r>
          </w:p>
        </w:tc>
      </w:tr>
    </w:tbl>
    <w:p>
      <w:pPr>
        <w:spacing w:line="580" w:lineRule="exact" w:before="0" w:after="0"/>
      </w:pPr>
      <w:r>
        <w:rPr>
          <w:rFonts w:ascii="仿宋_GB2312" w:hAnsi="仿宋_GB2312" w:eastAsia="仿宋_GB2312"/>
          <w:b w:val="0"/>
          <w:sz w:val="32"/>
        </w:rPr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关键发现：策略在熊市中显著跑赢市场（2022年市场-68%，策略+111%），牛市相对逊色但仍维持正收益，胜率稳定在22%-31%区间，回撤控制在7%-15%。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（三）核心参数与策略定位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策略采用中低频价格行为学框架，品种为ETH/USDT永续合约，时间框架D1→1H→5M自上而下。核心逻辑为顺势在支撑阻力位入场，移动止损最大化利润。冷却期6根K线，无杠杆（1x），日均1至2单。已有夏普比率1.03的加密货币策略中属良好偏优水平，较持有ETH（约0.7）提高约50%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 w:val="0"/>
          <w:sz w:val="32"/>
        </w:rPr>
        <w:t>二、主要做法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（一）冷却期缺陷诊断与修复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原v2.2c冷却期基于条件满足触发（rolling(6).max()方案），存在致命缺陷：行情持续满足入场条件时，短期方向标记始终为True，滚动窗口内永远不会归零，导致永久无法开单。该缺陷在回测中不可见（假设100%成交），实盘中拒单、滑点或限价单未成交均可激活。修复方案为_apply_cooldown改为基于实际入场事件驱动，由此产生v2.2d版本，并直接带来+71.7%的最终资金提升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（二）Binance API安全部署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完成本地到服务器的API密钥安全链路搭建。密钥权限限定为Futures + Trade（未勾选提币及充值权限），IP白名单锁定东京服务器（43.163.225.30）。存储路径为~/freqtrade/.keys/binance_readonly（chmod 600），通过secrets.json桥接至freqtrade配置链（config.json → config.pairlist.json → secrets.json），Docker自动挂载读取。账户为干净状态，前期手动交易及100x杠杆爆仓记录已清空，具备实盘部署条件。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（三）策略说明书编撰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完成v2.2d策略说明书编撰及A4排版优化，含12章正文及4个附录，嵌入5幅SVG图表，共计32页，最终输出为PDF及Word两种格式。内容涵盖策略概述、入场逻辑、出场逻辑、风险管理、参数面板、回测验证、实盘部署等全部模块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（四）14时未入场诊断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6月11日14时（北京时间），用户判断应有做空信号，但策略未入场。经排查，原因为resistance_alive有效性窗口到期——11:00 K线生成的1,661美元阻力位，三根K线窗口在14:00关闭，策略正确拒绝了信号。该行为符合预期设计，用户确认保留当前有效性设置。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（五）监控与仪表盘维护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Dashboard升级至V1.1版本，支持实时价格显示及1H图表增强。日报系统正常运行（每日23:55 UTC定时执行daily_brief.py，通过Server酱推送至微信）。自动化每日早8时（北京时间）读取日报。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 w:val="0"/>
          <w:sz w:val="32"/>
        </w:rPr>
        <w:t>三、存在的主要问题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（一）实盘尚未启动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截至目前，v2.2d策略仅在回测环境中验证，尚未部署dry-run或实盘运行。回测表现优异不等于实盘表现，需尽快启动实盘以获取真实交易数据验证策略有效性。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（二）冷却期逻辑尚需实盘检验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v2.2d修复了冷却期的理论缺陷，但修复方案（事件驱动替代条件驱动）仅在回测中验证，实盘中订单拒绝、部分成交、滑点等情形的影响尚不明确。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（三）牛市策略表现偏弱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逐年数据显示，策略在牛市中相对跑输市场（2021年策略+251% vs 市场+407%），大趋势行情下入场频率不足且利润跑不赢持有策略。该特性为纯价格行为学策略的内在局限，暂未找到有效改进方向。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（四）2026年上半年出现负收益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2026年1至5月（上半年数据），策略在极端下跌行情（市场-45%）中录得-11.87%的亏损，虽远优于市场表现但仍有损失。需审视是否有参数优化空间以提升极端行情的适应性。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 w:val="0"/>
          <w:sz w:val="32"/>
        </w:rPr>
        <w:t>四、下一步工作打算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（一）启动实盘运行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在确认服务器环境（API权限、IP白名单、账户余额、Docker配置）全部就绪后，首先部署dry-run模式验证系统完整性，确认无误后切换至实盘运行。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（二）建立实盘监控体系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在现有日报系统基础上，补充实盘关键指标监控：每日盈亏、最大回撤、夏普比率滚动更新、信号频率统计、异常告警等。制定实盘表现偏离回测的阈值标准及应对预案。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（三）补强牛市策略表现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针对牛市相对跑输市场的问题，研究是否可通过动态杠杆（实盘允许）或趋势加速入场机制提升牛市场景下的资金利用效率。该方向需谨慎推进，避免破坏现有夏普比率和回撤控制框架。</w:t>
      </w:r>
    </w:p>
    <w:p>
      <w:pPr>
        <w:jc w:val="left"/>
        <w:spacing w:line="580" w:lineRule="exact" w:before="0" w:after="0"/>
      </w:pPr>
      <w:r>
        <w:rPr>
          <w:rFonts w:ascii="黑体" w:hAnsi="黑体" w:eastAsia="黑体"/>
          <w:b/>
          <w:sz w:val="32"/>
        </w:rPr>
        <w:t>（四）经验固化与文档归档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将6月11日的研发成果（策略优化、API部署、故障诊断、规范建立）全面固化为项目记忆及操作手册，形成可复现、可传承的研发资产。</w:t>
      </w:r>
    </w:p>
    <w:p>
      <w:pPr>
        <w:jc w:val="left"/>
        <w:spacing w:line="580" w:lineRule="exact" w:before="0" w:after="0"/>
        <w:ind w:firstLine="480" w:left="0" w:right="0"/>
      </w:pPr>
      <w:r>
        <w:rPr>
          <w:rFonts w:ascii="仿宋_GB2312" w:hAnsi="仿宋_GB2312" w:eastAsia="仿宋_GB2312"/>
          <w:b w:val="0"/>
          <w:sz w:val="32"/>
        </w:rPr>
        <w:t>特此报告。</w:t>
      </w:r>
    </w:p>
    <w:p>
      <w:pPr>
        <w:jc w:val="right"/>
        <w:spacing w:line="580" w:lineRule="exact" w:before="0" w:after="0"/>
        <w:ind w:right="640"/>
      </w:pPr>
      <w:r>
        <w:rPr>
          <w:rFonts w:ascii="仿宋_GB2312" w:hAnsi="仿宋_GB2312" w:eastAsia="仿宋_GB2312"/>
          <w:b w:val="0"/>
          <w:sz w:val="32"/>
        </w:rPr>
        <w:t>FXY</w:t>
      </w:r>
    </w:p>
    <w:p>
      <w:pPr>
        <w:jc w:val="right"/>
        <w:spacing w:line="580" w:lineRule="exact" w:before="0" w:after="0"/>
        <w:ind w:right="640"/>
      </w:pPr>
      <w:r>
        <w:rPr>
          <w:rFonts w:ascii="仿宋_GB2312" w:hAnsi="仿宋_GB2312" w:eastAsia="仿宋_GB2312"/>
          <w:b w:val="0"/>
          <w:sz w:val="32"/>
        </w:rPr>
        <w:t>2026年6月11日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/>
    </w:pPr>
    <w:rPr>
      <w:rFonts w:ascii="仿宋_GB2312" w:hAnsi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