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7EA7B">
      <w:pPr>
        <w:spacing w:before="480" w:after="480" w:line="288" w:lineRule="auto"/>
        <w:ind w:left="0"/>
      </w:pPr>
      <w:r>
        <w:rPr>
          <w:rFonts w:ascii="Arial" w:hAnsi="Arial" w:eastAsia="等线" w:cs="Arial"/>
          <w:b/>
          <w:sz w:val="52"/>
        </w:rPr>
        <w:t>数据分析工程信息安全与全生命周期管理问题分析</w:t>
      </w:r>
    </w:p>
    <w:p w14:paraId="0973CD9F">
      <w:pPr>
        <w:spacing w:before="120" w:after="120" w:line="288" w:lineRule="auto"/>
        <w:ind w:left="0"/>
        <w:jc w:val="left"/>
      </w:pPr>
      <w:r>
        <w:rPr>
          <w:rFonts w:ascii="Arial" w:hAnsi="Arial" w:eastAsia="等线" w:cs="Arial"/>
          <w:sz w:val="22"/>
        </w:rPr>
        <w:t>本文结合数据分析工程师岗位场景（整合多来源数据、协同前后端/产品测试等跨角色团队、输出分析报表与数据产品），从工程信息安全隐患和工程全生命周期信息管理问题两个维度展开分析，为数据相关工程的高效安全推进提供参考。</w:t>
      </w:r>
    </w:p>
    <w:p w14:paraId="3BE85E88">
      <w:pPr>
        <w:spacing w:before="380" w:after="140" w:line="288" w:lineRule="auto"/>
        <w:ind w:left="0"/>
        <w:jc w:val="left"/>
        <w:outlineLvl w:val="0"/>
      </w:pPr>
      <w:bookmarkStart w:id="0" w:name="heading_0"/>
      <w:r>
        <w:rPr>
          <w:rFonts w:ascii="Arial" w:hAnsi="Arial" w:eastAsia="等线" w:cs="Arial"/>
          <w:b/>
          <w:sz w:val="36"/>
        </w:rPr>
        <w:t>一、工程信息安全隐患：举例、原因与解决思路</w:t>
      </w:r>
      <w:bookmarkEnd w:id="0"/>
    </w:p>
    <w:p w14:paraId="58A294AE">
      <w:pPr>
        <w:spacing w:before="120" w:after="120" w:line="288" w:lineRule="auto"/>
        <w:ind w:left="0"/>
        <w:jc w:val="left"/>
      </w:pPr>
      <w:r>
        <w:rPr>
          <w:rFonts w:ascii="Arial" w:hAnsi="Arial" w:eastAsia="等线" w:cs="Arial"/>
          <w:sz w:val="22"/>
        </w:rPr>
        <w:t>工程信息安全的核心风险围绕“数据资产泄露/篡改”“系统权限失控”“协作链路漏洞”展开，结合数据分析工程师的工作场景（多数据源整合、跨角色协同），具体分析如下表所示：</w:t>
      </w:r>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070"/>
        <w:gridCol w:w="2070"/>
        <w:gridCol w:w="2070"/>
        <w:gridCol w:w="2070"/>
      </w:tblGrid>
      <w:tr w14:paraId="5E3FC860">
        <w:tc>
          <w:tcPr>
            <w:tcW w:w="2070" w:type="dxa"/>
            <w:tcMar>
              <w:top w:w="60" w:type="dxa"/>
              <w:left w:w="120" w:type="dxa"/>
              <w:bottom w:w="30" w:type="dxa"/>
              <w:right w:w="120" w:type="dxa"/>
            </w:tcMar>
          </w:tcPr>
          <w:p w14:paraId="11D44AB2">
            <w:pPr>
              <w:spacing w:before="120" w:after="120" w:line="288" w:lineRule="auto"/>
              <w:ind w:left="0"/>
              <w:jc w:val="left"/>
            </w:pPr>
            <w:r>
              <w:rPr>
                <w:rFonts w:ascii="Arial" w:hAnsi="Arial" w:eastAsia="等线" w:cs="Arial"/>
                <w:sz w:val="22"/>
              </w:rPr>
              <w:t>隐患类型</w:t>
            </w:r>
          </w:p>
        </w:tc>
        <w:tc>
          <w:tcPr>
            <w:tcW w:w="2070" w:type="dxa"/>
            <w:tcMar>
              <w:top w:w="60" w:type="dxa"/>
              <w:left w:w="120" w:type="dxa"/>
              <w:bottom w:w="30" w:type="dxa"/>
              <w:right w:w="120" w:type="dxa"/>
            </w:tcMar>
          </w:tcPr>
          <w:p w14:paraId="4287127E">
            <w:pPr>
              <w:spacing w:before="120" w:after="120" w:line="288" w:lineRule="auto"/>
              <w:ind w:left="0"/>
              <w:jc w:val="left"/>
            </w:pPr>
            <w:r>
              <w:rPr>
                <w:rFonts w:ascii="Arial" w:hAnsi="Arial" w:eastAsia="等线" w:cs="Arial"/>
                <w:sz w:val="22"/>
              </w:rPr>
              <w:t>具体案例</w:t>
            </w:r>
          </w:p>
        </w:tc>
        <w:tc>
          <w:tcPr>
            <w:tcW w:w="2070" w:type="dxa"/>
            <w:tcMar>
              <w:top w:w="60" w:type="dxa"/>
              <w:left w:w="120" w:type="dxa"/>
              <w:bottom w:w="30" w:type="dxa"/>
              <w:right w:w="120" w:type="dxa"/>
            </w:tcMar>
          </w:tcPr>
          <w:p w14:paraId="2C195E14">
            <w:pPr>
              <w:spacing w:before="120" w:after="120" w:line="288" w:lineRule="auto"/>
              <w:ind w:left="0"/>
              <w:jc w:val="left"/>
            </w:pPr>
            <w:r>
              <w:rPr>
                <w:rFonts w:ascii="Arial" w:hAnsi="Arial" w:eastAsia="等线" w:cs="Arial"/>
                <w:sz w:val="22"/>
              </w:rPr>
              <w:t>隐患存在的原因</w:t>
            </w:r>
          </w:p>
        </w:tc>
        <w:tc>
          <w:tcPr>
            <w:tcW w:w="2070" w:type="dxa"/>
            <w:tcMar>
              <w:top w:w="60" w:type="dxa"/>
              <w:left w:w="120" w:type="dxa"/>
              <w:bottom w:w="30" w:type="dxa"/>
              <w:right w:w="120" w:type="dxa"/>
            </w:tcMar>
          </w:tcPr>
          <w:p w14:paraId="2E72139F">
            <w:pPr>
              <w:spacing w:before="120" w:after="120" w:line="288" w:lineRule="auto"/>
              <w:ind w:left="0"/>
              <w:jc w:val="left"/>
            </w:pPr>
            <w:r>
              <w:rPr>
                <w:rFonts w:ascii="Arial" w:hAnsi="Arial" w:eastAsia="等线" w:cs="Arial"/>
                <w:sz w:val="22"/>
              </w:rPr>
              <w:t>解决思路</w:t>
            </w:r>
          </w:p>
        </w:tc>
      </w:tr>
      <w:tr w14:paraId="6A983727">
        <w:tc>
          <w:tcPr>
            <w:tcW w:w="2070" w:type="dxa"/>
            <w:tcMar>
              <w:top w:w="60" w:type="dxa"/>
              <w:left w:w="120" w:type="dxa"/>
              <w:bottom w:w="30" w:type="dxa"/>
              <w:right w:w="120" w:type="dxa"/>
            </w:tcMar>
          </w:tcPr>
          <w:p w14:paraId="6C7E45FB">
            <w:pPr>
              <w:spacing w:before="120" w:after="120" w:line="288" w:lineRule="auto"/>
              <w:ind w:left="0"/>
              <w:jc w:val="left"/>
            </w:pPr>
            <w:r>
              <w:rPr>
                <w:rFonts w:ascii="Arial" w:hAnsi="Arial" w:eastAsia="等线" w:cs="Arial"/>
                <w:sz w:val="22"/>
              </w:rPr>
              <w:t>1. 敏感数据泄露</w:t>
            </w:r>
          </w:p>
        </w:tc>
        <w:tc>
          <w:tcPr>
            <w:tcW w:w="2070" w:type="dxa"/>
            <w:tcMar>
              <w:top w:w="60" w:type="dxa"/>
              <w:left w:w="120" w:type="dxa"/>
              <w:bottom w:w="30" w:type="dxa"/>
              <w:right w:w="120" w:type="dxa"/>
            </w:tcMar>
          </w:tcPr>
          <w:p w14:paraId="3AC6CB91">
            <w:pPr>
              <w:spacing w:before="120" w:after="120" w:line="288" w:lineRule="auto"/>
              <w:ind w:left="0"/>
              <w:jc w:val="left"/>
            </w:pPr>
            <w:r>
              <w:rPr>
                <w:rFonts w:ascii="Arial" w:hAnsi="Arial" w:eastAsia="等线" w:cs="Arial"/>
                <w:sz w:val="22"/>
              </w:rPr>
              <w:t>整合的公司“用户消费数据+运营成本数据”，被前端开发在测试环境直接用真实数据调试，导致数据通过测试日志泄露给外包团队；或报表导出后存于未加密的共享硬盘，被非授权人员查看。</w:t>
            </w:r>
          </w:p>
        </w:tc>
        <w:tc>
          <w:tcPr>
            <w:tcW w:w="2070" w:type="dxa"/>
            <w:tcMar>
              <w:top w:w="60" w:type="dxa"/>
              <w:left w:w="120" w:type="dxa"/>
              <w:bottom w:w="30" w:type="dxa"/>
              <w:right w:w="120" w:type="dxa"/>
            </w:tcMar>
          </w:tcPr>
          <w:p w14:paraId="304F724C">
            <w:pPr>
              <w:spacing w:before="120" w:after="120" w:line="288" w:lineRule="auto"/>
              <w:ind w:left="0"/>
              <w:jc w:val="left"/>
            </w:pPr>
            <w:r>
              <w:rPr>
                <w:rFonts w:ascii="Arial" w:hAnsi="Arial" w:eastAsia="等线" w:cs="Arial"/>
                <w:sz w:val="22"/>
              </w:rPr>
              <w:t>1. 数据分级不明确：未区分“敏感数据（如用户隐私、财务数据）”与“非敏感数据（如公开运营指标）”；2. 环境隔离不足：测试/开发环境直接使用生产数据，未做脱敏处理；3. 存储权限粗放：共享存储未按“最小权限原则”设置访问范围。</w:t>
            </w:r>
          </w:p>
        </w:tc>
        <w:tc>
          <w:tcPr>
            <w:tcW w:w="2070" w:type="dxa"/>
            <w:tcMar>
              <w:top w:w="60" w:type="dxa"/>
              <w:left w:w="120" w:type="dxa"/>
              <w:bottom w:w="30" w:type="dxa"/>
              <w:right w:w="120" w:type="dxa"/>
            </w:tcMar>
          </w:tcPr>
          <w:p w14:paraId="446D9FA8">
            <w:pPr>
              <w:spacing w:before="120" w:after="120" w:line="288" w:lineRule="auto"/>
              <w:ind w:left="0"/>
              <w:jc w:val="left"/>
            </w:pPr>
            <w:r>
              <w:rPr>
                <w:rFonts w:ascii="Arial" w:hAnsi="Arial" w:eastAsia="等线" w:cs="Arial"/>
                <w:sz w:val="22"/>
              </w:rPr>
              <w:t>1. 数据分级分类：将数据划分为“公开/内部/敏感/机密”，敏感数据（如用户ID、财务金额）强制脱敏；2. 环境数据隔离：测试环境使用“模拟数据”或“脱敏后的生产数据”（如用“138****1234”替代真实手机号）；3. 精细化权限管控：共享存储按“角色-岗位”授权（如仅数据工程师可查看原始数据，前端仅查看脱敏后的报表字段），并记录访问日志。</w:t>
            </w:r>
          </w:p>
        </w:tc>
      </w:tr>
      <w:tr w14:paraId="2E1777CD">
        <w:tc>
          <w:tcPr>
            <w:tcW w:w="2070" w:type="dxa"/>
            <w:tcMar>
              <w:top w:w="60" w:type="dxa"/>
              <w:left w:w="120" w:type="dxa"/>
              <w:bottom w:w="30" w:type="dxa"/>
              <w:right w:w="120" w:type="dxa"/>
            </w:tcMar>
          </w:tcPr>
          <w:p w14:paraId="5D2F395C">
            <w:pPr>
              <w:spacing w:before="120" w:after="120" w:line="288" w:lineRule="auto"/>
              <w:ind w:left="0"/>
              <w:jc w:val="left"/>
            </w:pPr>
            <w:r>
              <w:rPr>
                <w:rFonts w:ascii="Arial" w:hAnsi="Arial" w:eastAsia="等线" w:cs="Arial"/>
                <w:sz w:val="22"/>
              </w:rPr>
              <w:t>2. 系统权限与接口漏洞</w:t>
            </w:r>
          </w:p>
        </w:tc>
        <w:tc>
          <w:tcPr>
            <w:tcW w:w="2070" w:type="dxa"/>
            <w:tcMar>
              <w:top w:w="60" w:type="dxa"/>
              <w:left w:w="120" w:type="dxa"/>
              <w:bottom w:w="30" w:type="dxa"/>
              <w:right w:w="120" w:type="dxa"/>
            </w:tcMar>
          </w:tcPr>
          <w:p w14:paraId="4860B00F">
            <w:pPr>
              <w:spacing w:before="120" w:after="120" w:line="288" w:lineRule="auto"/>
              <w:ind w:left="0"/>
              <w:jc w:val="left"/>
            </w:pPr>
            <w:r>
              <w:rPr>
                <w:rFonts w:ascii="Arial" w:hAnsi="Arial" w:eastAsia="等线" w:cs="Arial"/>
                <w:sz w:val="22"/>
              </w:rPr>
              <w:t>后端团队为方便同步业务数据库数据，开放了“只读但无IP限制”的数据库接口；或测试团队为快速验证报表功能，临时将报表系统的“游客权限”升级为“编辑权限”，未及时回收。</w:t>
            </w:r>
          </w:p>
        </w:tc>
        <w:tc>
          <w:tcPr>
            <w:tcW w:w="2070" w:type="dxa"/>
            <w:tcMar>
              <w:top w:w="60" w:type="dxa"/>
              <w:left w:w="120" w:type="dxa"/>
              <w:bottom w:w="30" w:type="dxa"/>
              <w:right w:w="120" w:type="dxa"/>
            </w:tcMar>
          </w:tcPr>
          <w:p w14:paraId="1EAEA9C3">
            <w:pPr>
              <w:spacing w:before="120" w:after="120" w:line="288" w:lineRule="auto"/>
              <w:ind w:left="0"/>
              <w:jc w:val="left"/>
            </w:pPr>
            <w:r>
              <w:rPr>
                <w:rFonts w:ascii="Arial" w:hAnsi="Arial" w:eastAsia="等线" w:cs="Arial"/>
                <w:sz w:val="22"/>
              </w:rPr>
              <w:t>1. 权限授予“图方便”：未遵循“最小必要权限”，为协同效率牺牲安全；2. 临时权限缺乏管控：无“临时权限申请-审批-过期自动回收”流程；3. 接口未做安全校验：数据库接口未限制访问IP、未加Token认证，存在被恶意调用风险。</w:t>
            </w:r>
          </w:p>
        </w:tc>
        <w:tc>
          <w:tcPr>
            <w:tcW w:w="2070" w:type="dxa"/>
            <w:tcMar>
              <w:top w:w="60" w:type="dxa"/>
              <w:left w:w="120" w:type="dxa"/>
              <w:bottom w:w="30" w:type="dxa"/>
              <w:right w:w="120" w:type="dxa"/>
            </w:tcMar>
          </w:tcPr>
          <w:p w14:paraId="145D8A47">
            <w:pPr>
              <w:spacing w:before="120" w:after="120" w:line="288" w:lineRule="auto"/>
              <w:ind w:left="0"/>
              <w:jc w:val="left"/>
            </w:pPr>
            <w:r>
              <w:rPr>
                <w:rFonts w:ascii="Arial" w:hAnsi="Arial" w:eastAsia="等线" w:cs="Arial"/>
                <w:sz w:val="22"/>
              </w:rPr>
              <w:t>1. 权限审批流程化：所有跨角色权限申请需提工单（注明用途、有效期），由数据负责人+安全团队双审批；2. 临时权限自动回收：通过IAM（身份访问管理）系统设置临时权限“最大有效期7天”，到期强制失效；3. 接口安全加固：数据库接口仅开放公司内网IP，报表系统接口加“Token+签名校验”，防止越权调用。</w:t>
            </w:r>
          </w:p>
        </w:tc>
      </w:tr>
      <w:tr w14:paraId="3A7A1A3E">
        <w:tc>
          <w:tcPr>
            <w:tcW w:w="2070" w:type="dxa"/>
            <w:tcMar>
              <w:top w:w="60" w:type="dxa"/>
              <w:left w:w="120" w:type="dxa"/>
              <w:bottom w:w="30" w:type="dxa"/>
              <w:right w:w="120" w:type="dxa"/>
            </w:tcMar>
          </w:tcPr>
          <w:p w14:paraId="3F8C2C0C">
            <w:pPr>
              <w:spacing w:before="120" w:after="120" w:line="288" w:lineRule="auto"/>
              <w:ind w:left="0"/>
              <w:jc w:val="left"/>
            </w:pPr>
            <w:r>
              <w:rPr>
                <w:rFonts w:ascii="Arial" w:hAnsi="Arial" w:eastAsia="等线" w:cs="Arial"/>
                <w:sz w:val="22"/>
              </w:rPr>
              <w:t>3. 协同工具与操作风险</w:t>
            </w:r>
          </w:p>
        </w:tc>
        <w:tc>
          <w:tcPr>
            <w:tcW w:w="2070" w:type="dxa"/>
            <w:tcMar>
              <w:top w:w="60" w:type="dxa"/>
              <w:left w:w="120" w:type="dxa"/>
              <w:bottom w:w="30" w:type="dxa"/>
              <w:right w:w="120" w:type="dxa"/>
            </w:tcMar>
          </w:tcPr>
          <w:p w14:paraId="4067154F">
            <w:pPr>
              <w:spacing w:before="120" w:after="120" w:line="288" w:lineRule="auto"/>
              <w:ind w:left="0"/>
              <w:jc w:val="left"/>
            </w:pPr>
            <w:r>
              <w:rPr>
                <w:rFonts w:ascii="Arial" w:hAnsi="Arial" w:eastAsia="等线" w:cs="Arial"/>
                <w:sz w:val="22"/>
              </w:rPr>
              <w:t>用微信/QQ传输未加密的“数据字典”给产品经理，聊天记录被第三方窃取；或测试工程师在验证报表时，误操作删除了“历史数据备份表”，且无恢复机制。</w:t>
            </w:r>
          </w:p>
        </w:tc>
        <w:tc>
          <w:tcPr>
            <w:tcW w:w="2070" w:type="dxa"/>
            <w:tcMar>
              <w:top w:w="60" w:type="dxa"/>
              <w:left w:w="120" w:type="dxa"/>
              <w:bottom w:w="30" w:type="dxa"/>
              <w:right w:w="120" w:type="dxa"/>
            </w:tcMar>
          </w:tcPr>
          <w:p w14:paraId="346BDFC6">
            <w:pPr>
              <w:spacing w:before="120" w:after="120" w:line="288" w:lineRule="auto"/>
              <w:ind w:left="0"/>
              <w:jc w:val="left"/>
            </w:pPr>
            <w:r>
              <w:rPr>
                <w:rFonts w:ascii="Arial" w:hAnsi="Arial" w:eastAsia="等线" w:cs="Arial"/>
                <w:sz w:val="22"/>
              </w:rPr>
              <w:t>1. 协同工具不合规：使用非企业级工具（微信/QQ）传输敏感信息，缺乏加密与追溯能力；2. 操作无“熔断”机制：关键数据（如备份表）未设置“只读保护”，误操作后无备份；3. 人员安全意识不足：跨角色协作时未培训“敏感信息传输规范”。</w:t>
            </w:r>
          </w:p>
        </w:tc>
        <w:tc>
          <w:tcPr>
            <w:tcW w:w="2070" w:type="dxa"/>
            <w:tcMar>
              <w:top w:w="60" w:type="dxa"/>
              <w:left w:w="120" w:type="dxa"/>
              <w:bottom w:w="30" w:type="dxa"/>
              <w:right w:w="120" w:type="dxa"/>
            </w:tcMar>
          </w:tcPr>
          <w:p w14:paraId="32594FBD">
            <w:pPr>
              <w:spacing w:before="120" w:after="120" w:line="288" w:lineRule="auto"/>
              <w:ind w:left="0"/>
              <w:jc w:val="left"/>
            </w:pPr>
            <w:r>
              <w:rPr>
                <w:rFonts w:ascii="Arial" w:hAnsi="Arial" w:eastAsia="等线" w:cs="Arial"/>
                <w:sz w:val="22"/>
              </w:rPr>
              <w:t>1. 统一合规协同工具：用企业微信（开启聊天加密）、飞书（文件传输带访问日志）或专用数据传输平台（如FlinkX）传输数据；2. 关键操作防护：核心数据表（如原始数据、备份表）设置“只读权限”，删除/修改需二次审批；同时开启“数据定时备份”（如每日凌晨全量备份，保留30天）；3. 定期安全培训：每季度组织跨团队安全培训，重点讲解“敏感数据传输规范”“误操作应急处理流程”。</w:t>
            </w:r>
          </w:p>
        </w:tc>
      </w:tr>
    </w:tbl>
    <w:p w14:paraId="0958196A">
      <w:pPr>
        <w:spacing w:before="380" w:after="140" w:line="288" w:lineRule="auto"/>
        <w:ind w:left="0"/>
        <w:jc w:val="left"/>
        <w:outlineLvl w:val="0"/>
      </w:pPr>
      <w:bookmarkStart w:id="1" w:name="heading_1"/>
      <w:r>
        <w:rPr>
          <w:rFonts w:ascii="Arial" w:hAnsi="Arial" w:eastAsia="等线" w:cs="Arial"/>
          <w:b/>
          <w:sz w:val="36"/>
        </w:rPr>
        <w:t>二、工程全生命周期信息管理：各环节常见问题</w:t>
      </w:r>
      <w:bookmarkEnd w:id="1"/>
    </w:p>
    <w:p w14:paraId="3463149A">
      <w:pPr>
        <w:spacing w:before="120" w:after="120" w:line="288" w:lineRule="auto"/>
        <w:ind w:left="0"/>
        <w:jc w:val="left"/>
      </w:pPr>
      <w:r>
        <w:rPr>
          <w:rFonts w:ascii="Arial" w:hAnsi="Arial" w:eastAsia="等线" w:cs="Arial"/>
          <w:sz w:val="22"/>
        </w:rPr>
        <w:t>工程全生命周期通常分为“需求阶段→设计阶段→开发阶段→测试阶段→交付/运维阶段”，每个环节的信息管理问题均与“数据整合”“跨角色协同”强相关，具体如下：</w:t>
      </w:r>
    </w:p>
    <w:p w14:paraId="2C58AA4B">
      <w:pPr>
        <w:spacing w:before="320" w:after="120" w:line="288" w:lineRule="auto"/>
        <w:ind w:left="0"/>
        <w:jc w:val="left"/>
        <w:outlineLvl w:val="1"/>
      </w:pPr>
      <w:bookmarkStart w:id="2" w:name="heading_2"/>
      <w:r>
        <w:rPr>
          <w:rFonts w:ascii="Arial" w:hAnsi="Arial" w:eastAsia="等线" w:cs="Arial"/>
          <w:b/>
          <w:sz w:val="32"/>
        </w:rPr>
        <w:t>1. 需求阶段：信息“模糊/遗漏”，导致后续返工</w:t>
      </w:r>
      <w:bookmarkEnd w:id="2"/>
    </w:p>
    <w:p w14:paraId="5CC5906E">
      <w:pPr>
        <w:spacing w:before="120" w:after="120" w:line="288" w:lineRule="auto"/>
        <w:ind w:left="0"/>
        <w:jc w:val="left"/>
      </w:pPr>
      <w:r>
        <w:rPr>
          <w:rFonts w:ascii="Arial" w:hAnsi="Arial" w:eastAsia="等线" w:cs="Arial"/>
          <w:b/>
          <w:sz w:val="22"/>
        </w:rPr>
        <w:t>常见问题：</w:t>
      </w:r>
    </w:p>
    <w:p w14:paraId="273C8F60">
      <w:pPr>
        <w:numPr>
          <w:ilvl w:val="0"/>
          <w:numId w:val="1"/>
        </w:numPr>
        <w:spacing w:before="120" w:after="120" w:line="288" w:lineRule="auto"/>
        <w:ind w:left="0"/>
        <w:jc w:val="left"/>
      </w:pPr>
      <w:r>
        <w:rPr>
          <w:rFonts w:ascii="Arial" w:hAnsi="Arial" w:eastAsia="等线" w:cs="Arial"/>
          <w:sz w:val="22"/>
        </w:rPr>
        <w:t>产品经理提的“动态分析报表需求”仅描述“要展示销售额”，未明确“数据维度（如按区域/时间）”“更新频率（实时/T+1）”“异常阈值（如销售额低于10万需预警）”，按默认逻辑开发后，与产品预期不符；</w:t>
      </w:r>
    </w:p>
    <w:p w14:paraId="514E720C">
      <w:pPr>
        <w:numPr>
          <w:ilvl w:val="0"/>
          <w:numId w:val="2"/>
        </w:numPr>
        <w:spacing w:before="120" w:after="120" w:line="288" w:lineRule="auto"/>
        <w:ind w:left="0"/>
        <w:jc w:val="left"/>
      </w:pPr>
      <w:r>
        <w:rPr>
          <w:rFonts w:ascii="Arial" w:hAnsi="Arial" w:eastAsia="等线" w:cs="Arial"/>
          <w:sz w:val="22"/>
        </w:rPr>
        <w:t>需求未同步给后端团队：需要后端提供“用户行为数据接口”，但后端未收到需求通知，开发后期才发现接口缺失，导致工期延误。</w:t>
      </w:r>
    </w:p>
    <w:p w14:paraId="071322FB">
      <w:pPr>
        <w:spacing w:before="120" w:after="120" w:line="288" w:lineRule="auto"/>
        <w:ind w:left="0"/>
        <w:jc w:val="left"/>
      </w:pPr>
      <w:r>
        <w:rPr>
          <w:rFonts w:ascii="Arial" w:hAnsi="Arial" w:eastAsia="等线" w:cs="Arial"/>
          <w:b/>
          <w:sz w:val="22"/>
        </w:rPr>
        <w:t>问题核心：</w:t>
      </w:r>
      <w:r>
        <w:rPr>
          <w:rFonts w:ascii="Arial" w:hAnsi="Arial" w:eastAsia="等线" w:cs="Arial"/>
          <w:sz w:val="22"/>
        </w:rPr>
        <w:t>需求信息“不完整、不明确、未同步”，跨角色（产品/数据/后端）信息对齐不足。</w:t>
      </w:r>
    </w:p>
    <w:p w14:paraId="3F20E7AB">
      <w:pPr>
        <w:spacing w:before="320" w:after="120" w:line="288" w:lineRule="auto"/>
        <w:ind w:left="0"/>
        <w:jc w:val="left"/>
        <w:outlineLvl w:val="1"/>
      </w:pPr>
      <w:bookmarkStart w:id="3" w:name="heading_3"/>
      <w:r>
        <w:rPr>
          <w:rFonts w:ascii="Arial" w:hAnsi="Arial" w:eastAsia="等线" w:cs="Arial"/>
          <w:b/>
          <w:sz w:val="32"/>
        </w:rPr>
        <w:t>2. 设计阶段：信息“碎片化”，缺乏统一标准</w:t>
      </w:r>
      <w:bookmarkEnd w:id="3"/>
    </w:p>
    <w:p w14:paraId="21F12FDD">
      <w:pPr>
        <w:spacing w:before="120" w:after="120" w:line="288" w:lineRule="auto"/>
        <w:ind w:left="0"/>
        <w:jc w:val="left"/>
      </w:pPr>
      <w:r>
        <w:rPr>
          <w:rFonts w:ascii="Arial" w:hAnsi="Arial" w:eastAsia="等线" w:cs="Arial"/>
          <w:b/>
          <w:sz w:val="22"/>
        </w:rPr>
        <w:t>常见问题：</w:t>
      </w:r>
    </w:p>
    <w:p w14:paraId="01B956FF">
      <w:pPr>
        <w:numPr>
          <w:ilvl w:val="0"/>
          <w:numId w:val="3"/>
        </w:numPr>
        <w:spacing w:before="120" w:after="120" w:line="288" w:lineRule="auto"/>
        <w:ind w:left="0"/>
        <w:jc w:val="left"/>
      </w:pPr>
      <w:r>
        <w:rPr>
          <w:rFonts w:ascii="Arial" w:hAnsi="Arial" w:eastAsia="等线" w:cs="Arial"/>
          <w:sz w:val="22"/>
        </w:rPr>
        <w:t>设计的“数据整合方案”（如用Hive存储原始数据、ClickHouse存储报表结果）仅存在本地文档，前端团队不知道“报表数据从ClickHouse读取”，仍按旧逻辑对接Hive，导致前端页面加载缓慢；</w:t>
      </w:r>
    </w:p>
    <w:p w14:paraId="24E45205">
      <w:pPr>
        <w:numPr>
          <w:ilvl w:val="0"/>
          <w:numId w:val="4"/>
        </w:numPr>
        <w:spacing w:before="120" w:after="120" w:line="288" w:lineRule="auto"/>
        <w:ind w:left="0"/>
        <w:jc w:val="left"/>
      </w:pPr>
      <w:r>
        <w:rPr>
          <w:rFonts w:ascii="Arial" w:hAnsi="Arial" w:eastAsia="等线" w:cs="Arial"/>
          <w:sz w:val="22"/>
        </w:rPr>
        <w:t>数据字典不统一：后端定义“用户ID”为“user_id（字符串）”，在报表设计中写为“userid（整数）”，测试时发现字段类型不匹配，需重新调整数据清洗逻辑。</w:t>
      </w:r>
    </w:p>
    <w:p w14:paraId="52F27654">
      <w:pPr>
        <w:spacing w:before="120" w:after="120" w:line="288" w:lineRule="auto"/>
        <w:ind w:left="0"/>
        <w:jc w:val="left"/>
      </w:pPr>
      <w:r>
        <w:rPr>
          <w:rFonts w:ascii="Arial" w:hAnsi="Arial" w:eastAsia="等线" w:cs="Arial"/>
          <w:b/>
          <w:sz w:val="22"/>
        </w:rPr>
        <w:t>问题核心：</w:t>
      </w:r>
      <w:r>
        <w:rPr>
          <w:rFonts w:ascii="Arial" w:hAnsi="Arial" w:eastAsia="等线" w:cs="Arial"/>
          <w:sz w:val="22"/>
        </w:rPr>
        <w:t>设计信息（方案、字典、接口规范）未“中心化存储+同步共享”，跨角色对“数据标准”理解不一致。</w:t>
      </w:r>
    </w:p>
    <w:p w14:paraId="4672B444">
      <w:pPr>
        <w:spacing w:before="320" w:after="120" w:line="288" w:lineRule="auto"/>
        <w:ind w:left="0"/>
        <w:jc w:val="left"/>
        <w:outlineLvl w:val="1"/>
      </w:pPr>
      <w:bookmarkStart w:id="4" w:name="heading_4"/>
      <w:r>
        <w:rPr>
          <w:rFonts w:ascii="Arial" w:hAnsi="Arial" w:eastAsia="等线" w:cs="Arial"/>
          <w:b/>
          <w:sz w:val="32"/>
        </w:rPr>
        <w:t>3. 开发阶段：信息“断层/冲突”，协同效率低</w:t>
      </w:r>
      <w:bookmarkEnd w:id="4"/>
    </w:p>
    <w:p w14:paraId="3EAED520">
      <w:pPr>
        <w:spacing w:before="120" w:after="120" w:line="288" w:lineRule="auto"/>
        <w:ind w:left="0"/>
        <w:jc w:val="left"/>
      </w:pPr>
      <w:r>
        <w:rPr>
          <w:rFonts w:ascii="Arial" w:hAnsi="Arial" w:eastAsia="等线" w:cs="Arial"/>
          <w:b/>
          <w:sz w:val="22"/>
        </w:rPr>
        <w:t>常见问题：</w:t>
      </w:r>
    </w:p>
    <w:p w14:paraId="4D46E94E">
      <w:pPr>
        <w:numPr>
          <w:ilvl w:val="0"/>
          <w:numId w:val="5"/>
        </w:numPr>
        <w:spacing w:before="120" w:after="120" w:line="288" w:lineRule="auto"/>
        <w:ind w:left="0"/>
        <w:jc w:val="left"/>
      </w:pPr>
      <w:r>
        <w:rPr>
          <w:rFonts w:ascii="Arial" w:hAnsi="Arial" w:eastAsia="等线" w:cs="Arial"/>
          <w:sz w:val="22"/>
        </w:rPr>
        <w:t>整合“业务系统数据”时，发现后端提供的接口返回字段与设计文档不一致（如文档写“order_amount”，实际返回“amount”），但后端已迭代2个版本，未同步更新设计文档，需反复沟通确认；</w:t>
      </w:r>
    </w:p>
    <w:p w14:paraId="12B47112">
      <w:pPr>
        <w:numPr>
          <w:ilvl w:val="0"/>
          <w:numId w:val="6"/>
        </w:numPr>
        <w:spacing w:before="120" w:after="120" w:line="288" w:lineRule="auto"/>
        <w:ind w:left="0"/>
        <w:jc w:val="left"/>
      </w:pPr>
      <w:r>
        <w:rPr>
          <w:rFonts w:ascii="Arial" w:hAnsi="Arial" w:eastAsia="等线" w:cs="Arial"/>
          <w:sz w:val="22"/>
        </w:rPr>
        <w:t>多人开发冲突：和另一位数据工程师同时修改“用户数据清洗脚本”，未通过版本控制工具（如Git）管理，导致其中一人的代码被覆盖，需重新开发。</w:t>
      </w:r>
    </w:p>
    <w:p w14:paraId="06C32C78">
      <w:pPr>
        <w:spacing w:before="120" w:after="120" w:line="288" w:lineRule="auto"/>
        <w:ind w:left="0"/>
        <w:jc w:val="left"/>
      </w:pPr>
      <w:r>
        <w:rPr>
          <w:rFonts w:ascii="Arial" w:hAnsi="Arial" w:eastAsia="等线" w:cs="Arial"/>
          <w:b/>
          <w:sz w:val="22"/>
        </w:rPr>
        <w:t>问题核心：</w:t>
      </w:r>
      <w:r>
        <w:rPr>
          <w:rFonts w:ascii="Arial" w:hAnsi="Arial" w:eastAsia="等线" w:cs="Arial"/>
          <w:sz w:val="22"/>
        </w:rPr>
        <w:t>开发过程中的“接口变更、代码修改”未实时同步信息，缺乏“版本控制+变更通知”机制。</w:t>
      </w:r>
    </w:p>
    <w:p w14:paraId="4CCACF27">
      <w:pPr>
        <w:spacing w:before="320" w:after="120" w:line="288" w:lineRule="auto"/>
        <w:ind w:left="0"/>
        <w:jc w:val="left"/>
        <w:outlineLvl w:val="1"/>
      </w:pPr>
      <w:bookmarkStart w:id="5" w:name="heading_5"/>
      <w:r>
        <w:rPr>
          <w:rFonts w:ascii="Arial" w:hAnsi="Arial" w:eastAsia="等线" w:cs="Arial"/>
          <w:b/>
          <w:sz w:val="32"/>
        </w:rPr>
        <w:t>4. 测试阶段：信息“不闭环”，缺陷遗漏或重复测试</w:t>
      </w:r>
      <w:bookmarkEnd w:id="5"/>
    </w:p>
    <w:p w14:paraId="1F86AAF4">
      <w:pPr>
        <w:spacing w:before="120" w:after="120" w:line="288" w:lineRule="auto"/>
        <w:ind w:left="0"/>
        <w:jc w:val="left"/>
      </w:pPr>
      <w:r>
        <w:rPr>
          <w:rFonts w:ascii="Arial" w:hAnsi="Arial" w:eastAsia="等线" w:cs="Arial"/>
          <w:b/>
          <w:sz w:val="22"/>
        </w:rPr>
        <w:t>常见问题：</w:t>
      </w:r>
    </w:p>
    <w:p w14:paraId="58F243A8">
      <w:pPr>
        <w:numPr>
          <w:ilvl w:val="0"/>
          <w:numId w:val="7"/>
        </w:numPr>
        <w:spacing w:before="120" w:after="120" w:line="288" w:lineRule="auto"/>
        <w:ind w:left="0"/>
        <w:jc w:val="left"/>
      </w:pPr>
      <w:r>
        <w:rPr>
          <w:rFonts w:ascii="Arial" w:hAnsi="Arial" w:eastAsia="等线" w:cs="Arial"/>
          <w:sz w:val="22"/>
        </w:rPr>
        <w:t>测试工程师发现“报表中‘区域销售额’计算错误”，仅在测试工具中记录“计算异常”，未说明“具体哪个区域（如华东）、哪个时间（如2024年5月）”，需反复复现问题，耗时久；</w:t>
      </w:r>
    </w:p>
    <w:p w14:paraId="6580BAEE">
      <w:pPr>
        <w:numPr>
          <w:ilvl w:val="0"/>
          <w:numId w:val="8"/>
        </w:numPr>
        <w:spacing w:before="120" w:after="120" w:line="288" w:lineRule="auto"/>
        <w:ind w:left="0"/>
        <w:jc w:val="left"/>
      </w:pPr>
      <w:r>
        <w:rPr>
          <w:rFonts w:ascii="Arial" w:hAnsi="Arial" w:eastAsia="等线" w:cs="Arial"/>
          <w:sz w:val="22"/>
        </w:rPr>
        <w:t>修复缺陷后，未同步给测试团队，测试仍按旧缺陷列表执行，导致重复测试；同时，部分缺陷（如“报表导出功能失败”）未关联后端接口问题，导致测试遗漏。</w:t>
      </w:r>
    </w:p>
    <w:p w14:paraId="208667A6">
      <w:pPr>
        <w:spacing w:before="120" w:after="120" w:line="288" w:lineRule="auto"/>
        <w:ind w:left="0"/>
        <w:jc w:val="left"/>
      </w:pPr>
      <w:r>
        <w:rPr>
          <w:rFonts w:ascii="Arial" w:hAnsi="Arial" w:eastAsia="等线" w:cs="Arial"/>
          <w:b/>
          <w:sz w:val="22"/>
        </w:rPr>
        <w:t>问题核心：</w:t>
      </w:r>
      <w:r>
        <w:rPr>
          <w:rFonts w:ascii="Arial" w:hAnsi="Arial" w:eastAsia="等线" w:cs="Arial"/>
          <w:sz w:val="22"/>
        </w:rPr>
        <w:t>测试缺陷信息“描述不精准、状态不同步”，未与“开发环节的问题根源”关联。</w:t>
      </w:r>
    </w:p>
    <w:p w14:paraId="1FD6BEE6">
      <w:pPr>
        <w:spacing w:before="320" w:after="120" w:line="288" w:lineRule="auto"/>
        <w:ind w:left="0"/>
        <w:jc w:val="left"/>
        <w:outlineLvl w:val="1"/>
      </w:pPr>
      <w:bookmarkStart w:id="6" w:name="heading_6"/>
      <w:r>
        <w:rPr>
          <w:rFonts w:ascii="Arial" w:hAnsi="Arial" w:eastAsia="等线" w:cs="Arial"/>
          <w:b/>
          <w:sz w:val="32"/>
        </w:rPr>
        <w:t>5. 交付/运维阶段：信息“缺失/过期”，运维响应慢</w:t>
      </w:r>
      <w:bookmarkEnd w:id="6"/>
    </w:p>
    <w:p w14:paraId="548F3B16">
      <w:pPr>
        <w:spacing w:before="120" w:after="120" w:line="288" w:lineRule="auto"/>
        <w:ind w:left="0"/>
        <w:jc w:val="left"/>
      </w:pPr>
      <w:r>
        <w:rPr>
          <w:rFonts w:ascii="Arial" w:hAnsi="Arial" w:eastAsia="等线" w:cs="Arial"/>
          <w:b/>
          <w:sz w:val="22"/>
        </w:rPr>
        <w:t>常见问题：</w:t>
      </w:r>
    </w:p>
    <w:p w14:paraId="1E878FA6">
      <w:pPr>
        <w:numPr>
          <w:ilvl w:val="0"/>
          <w:numId w:val="9"/>
        </w:numPr>
        <w:spacing w:before="120" w:after="120" w:line="288" w:lineRule="auto"/>
        <w:ind w:left="0"/>
        <w:jc w:val="left"/>
      </w:pPr>
      <w:r>
        <w:rPr>
          <w:rFonts w:ascii="Arial" w:hAnsi="Arial" w:eastAsia="等线" w:cs="Arial"/>
          <w:sz w:val="22"/>
        </w:rPr>
        <w:t>报表交付后，运维团队不知道“报表依赖的Hive表每日凌晨3点更新”，在凌晨2点重启服务器，导致报表数据加载失败，且无“应急恢复手册”，故障排查耗时1小时；</w:t>
      </w:r>
    </w:p>
    <w:p w14:paraId="25BF4254">
      <w:pPr>
        <w:numPr>
          <w:ilvl w:val="0"/>
          <w:numId w:val="10"/>
        </w:numPr>
        <w:spacing w:before="120" w:after="120" w:line="288" w:lineRule="auto"/>
        <w:ind w:left="0"/>
        <w:jc w:val="left"/>
      </w:pPr>
      <w:r>
        <w:rPr>
          <w:rFonts w:ascii="Arial" w:hAnsi="Arial" w:eastAsia="等线" w:cs="Arial"/>
          <w:sz w:val="22"/>
        </w:rPr>
        <w:t>后续产品迭代时，新入职的数据分析工程师找不到“原始数据的来源说明”（如“用户消费数据来自支付系统”），需重新对接业务部门，重复梳理数据链路。</w:t>
      </w:r>
    </w:p>
    <w:p w14:paraId="6CAE5EFE">
      <w:pPr>
        <w:spacing w:before="120" w:after="120" w:line="288" w:lineRule="auto"/>
        <w:ind w:left="0"/>
        <w:jc w:val="left"/>
        <w:rPr>
          <w:rFonts w:hint="eastAsia" w:eastAsia="等线"/>
          <w:lang w:eastAsia="zh-CN"/>
        </w:rPr>
      </w:pPr>
      <w:r>
        <w:rPr>
          <w:rFonts w:ascii="Arial" w:hAnsi="Arial" w:eastAsia="等线" w:cs="Arial"/>
          <w:b/>
          <w:sz w:val="22"/>
        </w:rPr>
        <w:t>问题核心：</w:t>
      </w:r>
      <w:r>
        <w:rPr>
          <w:rFonts w:ascii="Arial" w:hAnsi="Arial" w:eastAsia="等线" w:cs="Arial"/>
          <w:sz w:val="22"/>
        </w:rPr>
        <w:t>交付时未同步“运维关键信息（依赖、应急流程）”，全生命周期的“数据链路、文档”未归档或更新。</w:t>
      </w:r>
      <w:bookmarkStart w:id="7" w:name="_GoBack"/>
      <w:bookmarkEnd w:id="7"/>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auto"/>
    <w:pitch w:val="default"/>
    <w:sig w:usb0="E0000AFF" w:usb1="00007843" w:usb2="00000001" w:usb3="00000000" w:csb0="400001BF" w:csb1="DFF70000"/>
  </w:font>
  <w:font w:name="等线">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316E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79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79CB3"/>
    <w:multiLevelType w:val="singleLevel"/>
    <w:tmpl w:val="BFD79CB3"/>
    <w:lvl w:ilvl="0" w:tentative="0">
      <w:start w:val="0"/>
      <w:numFmt w:val="bullet"/>
      <w:lvlText w:val="•"/>
      <w:lvlJc w:val="left"/>
      <w:rPr>
        <w:color w:val="3370FF"/>
      </w:rPr>
    </w:lvl>
  </w:abstractNum>
  <w:abstractNum w:abstractNumId="1">
    <w:nsid w:val="DFF36065"/>
    <w:multiLevelType w:val="singleLevel"/>
    <w:tmpl w:val="DFF36065"/>
    <w:lvl w:ilvl="0" w:tentative="0">
      <w:start w:val="0"/>
      <w:numFmt w:val="bullet"/>
      <w:lvlText w:val="•"/>
      <w:lvlJc w:val="left"/>
      <w:rPr>
        <w:color w:val="3370FF"/>
      </w:rPr>
    </w:lvl>
  </w:abstractNum>
  <w:abstractNum w:abstractNumId="2">
    <w:nsid w:val="E1F09A27"/>
    <w:multiLevelType w:val="singleLevel"/>
    <w:tmpl w:val="E1F09A27"/>
    <w:lvl w:ilvl="0" w:tentative="0">
      <w:start w:val="0"/>
      <w:numFmt w:val="bullet"/>
      <w:lvlText w:val="•"/>
      <w:lvlJc w:val="left"/>
      <w:rPr>
        <w:color w:val="3370FF"/>
      </w:rPr>
    </w:lvl>
  </w:abstractNum>
  <w:abstractNum w:abstractNumId="3">
    <w:nsid w:val="EB7F83B4"/>
    <w:multiLevelType w:val="singleLevel"/>
    <w:tmpl w:val="EB7F83B4"/>
    <w:lvl w:ilvl="0" w:tentative="0">
      <w:start w:val="0"/>
      <w:numFmt w:val="bullet"/>
      <w:lvlText w:val="•"/>
      <w:lvlJc w:val="left"/>
      <w:rPr>
        <w:color w:val="3370FF"/>
      </w:rPr>
    </w:lvl>
  </w:abstractNum>
  <w:abstractNum w:abstractNumId="4">
    <w:nsid w:val="EF8FC531"/>
    <w:multiLevelType w:val="singleLevel"/>
    <w:tmpl w:val="EF8FC531"/>
    <w:lvl w:ilvl="0" w:tentative="0">
      <w:start w:val="0"/>
      <w:numFmt w:val="bullet"/>
      <w:lvlText w:val="•"/>
      <w:lvlJc w:val="left"/>
      <w:rPr>
        <w:color w:val="3370FF"/>
      </w:rPr>
    </w:lvl>
  </w:abstractNum>
  <w:abstractNum w:abstractNumId="5">
    <w:nsid w:val="FEEF6B1E"/>
    <w:multiLevelType w:val="singleLevel"/>
    <w:tmpl w:val="FEEF6B1E"/>
    <w:lvl w:ilvl="0" w:tentative="0">
      <w:start w:val="0"/>
      <w:numFmt w:val="bullet"/>
      <w:lvlText w:val="•"/>
      <w:lvlJc w:val="left"/>
      <w:rPr>
        <w:color w:val="3370FF"/>
      </w:rPr>
    </w:lvl>
  </w:abstractNum>
  <w:abstractNum w:abstractNumId="6">
    <w:nsid w:val="FF77A41B"/>
    <w:multiLevelType w:val="singleLevel"/>
    <w:tmpl w:val="FF77A41B"/>
    <w:lvl w:ilvl="0" w:tentative="0">
      <w:start w:val="0"/>
      <w:numFmt w:val="bullet"/>
      <w:lvlText w:val="•"/>
      <w:lvlJc w:val="left"/>
      <w:rPr>
        <w:color w:val="3370FF"/>
      </w:rPr>
    </w:lvl>
  </w:abstractNum>
  <w:abstractNum w:abstractNumId="7">
    <w:nsid w:val="FFDF33B4"/>
    <w:multiLevelType w:val="singleLevel"/>
    <w:tmpl w:val="FFDF33B4"/>
    <w:lvl w:ilvl="0" w:tentative="0">
      <w:start w:val="0"/>
      <w:numFmt w:val="bullet"/>
      <w:lvlText w:val="•"/>
      <w:lvlJc w:val="left"/>
      <w:rPr>
        <w:color w:val="3370FF"/>
      </w:rPr>
    </w:lvl>
  </w:abstractNum>
  <w:abstractNum w:abstractNumId="8">
    <w:nsid w:val="7C2EAD06"/>
    <w:multiLevelType w:val="singleLevel"/>
    <w:tmpl w:val="7C2EAD06"/>
    <w:lvl w:ilvl="0" w:tentative="0">
      <w:start w:val="0"/>
      <w:numFmt w:val="bullet"/>
      <w:lvlText w:val="•"/>
      <w:lvlJc w:val="left"/>
      <w:rPr>
        <w:color w:val="3370FF"/>
      </w:rPr>
    </w:lvl>
  </w:abstractNum>
  <w:abstractNum w:abstractNumId="9">
    <w:nsid w:val="7F4FBA29"/>
    <w:multiLevelType w:val="singleLevel"/>
    <w:tmpl w:val="7F4FBA29"/>
    <w:lvl w:ilvl="0" w:tentative="0">
      <w:start w:val="0"/>
      <w:numFmt w:val="bullet"/>
      <w:lvlText w:val="•"/>
      <w:lvlJc w:val="left"/>
      <w:rPr>
        <w:color w:val="3370FF"/>
      </w:rPr>
    </w:lvl>
  </w:abstractNum>
  <w:num w:numId="1">
    <w:abstractNumId w:val="2"/>
  </w:num>
  <w:num w:numId="2">
    <w:abstractNumId w:val="6"/>
  </w:num>
  <w:num w:numId="3">
    <w:abstractNumId w:val="3"/>
  </w:num>
  <w:num w:numId="4">
    <w:abstractNumId w:val="0"/>
  </w:num>
  <w:num w:numId="5">
    <w:abstractNumId w:val="1"/>
  </w:num>
  <w:num w:numId="6">
    <w:abstractNumId w:val="8"/>
  </w:num>
  <w:num w:numId="7">
    <w:abstractNumId w:val="4"/>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63A6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TotalTime>2</TotalTime>
  <ScaleCrop>false</ScaleCrop>
  <LinksUpToDate>false</LinksUpToDate>
  <Application>WPS Office_12.1.23540.23540_F1E327BC-269C-435d-A152-05C5408002CA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2025-12-04T11:37:00Z</dcterms:created>
  <dc:creator>Apache POI</dc:creator>
  <cp:lastModifiedBy>范佳佳</cp:lastModifiedBy>
  <dcterms:modified xsi:type="dcterms:W3CDTF">2025-12-04T11:41:48Z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74AFBE8400C20AC5FC0231693712DC98_42</vt:lpwstr>
  </property>
</Properties>
</file>